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5级民族法学研究生学位论文开题及中期考核</w:t>
      </w:r>
      <w:r>
        <w:rPr>
          <w:rFonts w:hint="eastAsia" w:ascii="Times New Roman" w:hAnsi="Times New Roman"/>
          <w:b/>
          <w:sz w:val="32"/>
          <w:szCs w:val="32"/>
        </w:rPr>
        <w:t>须知</w:t>
      </w:r>
    </w:p>
    <w:p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>
      <w:pPr>
        <w:snapToGrid w:val="0"/>
        <w:spacing w:line="360" w:lineRule="auto"/>
        <w:ind w:left="840"/>
        <w:rPr>
          <w:rFonts w:ascii="Times New Roman" w:hAnsi="Times New Roman"/>
          <w:b/>
          <w:sz w:val="28"/>
          <w:szCs w:val="28"/>
        </w:rPr>
      </w:pPr>
    </w:p>
    <w:p>
      <w:pPr>
        <w:snapToGrid w:val="0"/>
        <w:spacing w:line="360" w:lineRule="auto"/>
        <w:ind w:left="84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★</w: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学位论文开题</w:t>
      </w:r>
      <w:r>
        <w:rPr>
          <w:rFonts w:hint="eastAsia" w:ascii="Times New Roman" w:hAnsi="Times New Roman"/>
          <w:b/>
          <w:sz w:val="28"/>
          <w:szCs w:val="28"/>
        </w:rPr>
        <w:t>流程</w:t>
      </w:r>
    </w:p>
    <w:p>
      <w:pPr>
        <w:numPr>
          <w:ilvl w:val="1"/>
          <w:numId w:val="1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i/>
          <w:sz w:val="24"/>
          <w:szCs w:val="24"/>
          <w:u w:val="single"/>
          <w:lang w:eastAsia="zh-CN"/>
        </w:rPr>
        <w:t>提交开题报告申请表、开题登记表申请（给导师）</w:t>
      </w:r>
      <w:r>
        <w:rPr>
          <w:rFonts w:hint="eastAsia" w:ascii="Times New Roman" w:hAnsi="Times New Roman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</w:rPr>
        <w:t>7年2月2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>——</w:t>
      </w: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3月30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eastAsia="zh-CN"/>
        </w:rPr>
        <w:t>（第六周星期四）</w:t>
      </w:r>
    </w:p>
    <w:p>
      <w:pPr>
        <w:snapToGrid w:val="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         开题登记表只须完成个人应写部分“开题报告主要内容”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80" w:lineRule="exact"/>
        <w:ind w:firstLine="560" w:firstLineChars="200"/>
        <w:rPr>
          <w:rFonts w:hint="eastAsia" w:ascii="仿宋_GB2312" w:hAnsi="华文中宋" w:eastAsia="仿宋_GB2312"/>
          <w:b/>
          <w:bCs w:val="0"/>
          <w:sz w:val="21"/>
          <w:szCs w:val="21"/>
          <w:lang w:eastAsia="zh-CN"/>
        </w:rPr>
      </w:pPr>
      <w:r>
        <w:rPr>
          <w:rFonts w:hint="eastAsia" w:ascii="Times New Roman" w:hAnsi="Times New Roman"/>
          <w:b/>
          <w:bCs w:val="0"/>
          <w:sz w:val="21"/>
          <w:szCs w:val="21"/>
        </w:rPr>
        <w:t>★</w:t>
      </w:r>
      <w:r>
        <w:rPr>
          <w:rFonts w:hint="eastAsia" w:ascii="仿宋_GB2312" w:hAnsi="华文中宋" w:eastAsia="仿宋_GB2312"/>
          <w:b/>
          <w:bCs w:val="0"/>
          <w:sz w:val="21"/>
          <w:szCs w:val="21"/>
          <w:lang w:eastAsia="zh-CN"/>
        </w:rPr>
        <w:t>开题报告书内容及要求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80" w:lineRule="exact"/>
        <w:ind w:firstLine="560" w:firstLineChars="200"/>
        <w:rPr>
          <w:rFonts w:hint="eastAsia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</w:rPr>
        <w:t>1.论文选题的背景、理由及研究的意义；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80" w:lineRule="exact"/>
        <w:ind w:firstLine="560" w:firstLineChars="200"/>
        <w:rPr>
          <w:rFonts w:hint="eastAsia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</w:rPr>
        <w:t>2.国内外关于该课题的研究现状及趋势；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80" w:lineRule="exact"/>
        <w:ind w:firstLine="560" w:firstLineChars="200"/>
        <w:rPr>
          <w:rFonts w:hint="eastAsia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</w:rPr>
        <w:t>3.本人的研究计划，包括研究目标、内容、拟突破的难点、创新或特色、拟采取的研究方案与技术路线等；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80" w:lineRule="exact"/>
        <w:ind w:firstLine="560" w:firstLineChars="200"/>
        <w:rPr>
          <w:rFonts w:hint="eastAsia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</w:rPr>
        <w:t>4.论文预期达到的目标；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80" w:lineRule="exact"/>
        <w:ind w:firstLine="560" w:firstLineChars="200"/>
        <w:rPr>
          <w:rFonts w:hint="eastAsia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</w:rPr>
        <w:t>5.论文撰写的进度安排；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80" w:lineRule="exact"/>
        <w:ind w:firstLine="560" w:firstLineChars="200"/>
        <w:rPr>
          <w:rFonts w:hint="eastAsia" w:ascii="仿宋_GB2312" w:hAnsi="华文中宋" w:eastAsia="仿宋_GB2312"/>
          <w:b/>
          <w:bCs/>
          <w:color w:val="FF0000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</w:rPr>
        <w:t>6.主要参考文献目录。</w:t>
      </w:r>
      <w:r>
        <w:rPr>
          <w:rFonts w:hint="eastAsia" w:ascii="仿宋_GB2312" w:hAnsi="华文中宋" w:eastAsia="仿宋_GB2312"/>
          <w:b/>
          <w:bCs/>
          <w:color w:val="FF0000"/>
          <w:sz w:val="21"/>
          <w:szCs w:val="21"/>
        </w:rPr>
        <w:t>参考文献应为40篇以上，其中外文资料应占1/3以上；</w:t>
      </w:r>
    </w:p>
    <w:p>
      <w:pPr>
        <w:snapToGrid w:val="0"/>
        <w:ind w:left="1680" w:leftChars="800"/>
        <w:rPr>
          <w:rFonts w:hint="eastAsia" w:ascii="Times New Roman" w:hAnsi="Times New Roman"/>
          <w:color w:val="FF0000"/>
          <w:szCs w:val="21"/>
          <w:u w:val="single"/>
        </w:rPr>
      </w:pPr>
    </w:p>
    <w:p>
      <w:pPr>
        <w:numPr>
          <w:ilvl w:val="1"/>
          <w:numId w:val="1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i/>
          <w:sz w:val="24"/>
          <w:szCs w:val="24"/>
          <w:u w:val="single"/>
          <w:lang w:eastAsia="zh-CN"/>
        </w:rPr>
        <w:t>确定、公布答辩名单（学科建设科）</w:t>
      </w:r>
      <w:r>
        <w:rPr>
          <w:rFonts w:hint="eastAsia" w:ascii="Times New Roman" w:hAnsi="Times New Roman"/>
          <w:i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4</w:t>
      </w:r>
      <w:r>
        <w:rPr>
          <w:rFonts w:hint="eastAsia" w:ascii="Times New Roman" w:hAns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sz w:val="24"/>
          <w:szCs w:val="24"/>
        </w:rPr>
        <w:t>日前</w:t>
      </w:r>
    </w:p>
    <w:p>
      <w:pPr>
        <w:snapToGrid w:val="0"/>
        <w:ind w:left="1680" w:leftChars="800"/>
        <w:rPr>
          <w:rFonts w:hint="eastAsia" w:ascii="Times New Roman" w:hAnsi="Times New Roman"/>
          <w:color w:val="FF0000"/>
          <w:szCs w:val="21"/>
          <w:u w:val="single"/>
          <w:lang w:eastAsia="zh-CN"/>
        </w:rPr>
      </w:pP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导师同意开题</w:t>
      </w:r>
      <w:r>
        <w:rPr>
          <w:rFonts w:hint="eastAsia" w:ascii="Times New Roman" w:hAnsi="Times New Roman"/>
          <w:color w:val="FF0000"/>
          <w:szCs w:val="21"/>
          <w:u w:val="single"/>
        </w:rPr>
        <w:t>→进入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开题答辩名单</w:t>
      </w:r>
    </w:p>
    <w:p>
      <w:pPr>
        <w:snapToGrid w:val="0"/>
        <w:ind w:left="1680" w:leftChars="800"/>
        <w:rPr>
          <w:rFonts w:hint="eastAsia" w:ascii="Times New Roman" w:hAnsi="Times New Roman"/>
          <w:color w:val="FF0000"/>
          <w:szCs w:val="21"/>
          <w:u w:val="single"/>
          <w:lang w:eastAsia="zh-CN"/>
        </w:rPr>
      </w:pP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导师不同意开题</w:t>
      </w:r>
      <w:r>
        <w:rPr>
          <w:rFonts w:hint="eastAsia" w:ascii="Times New Roman" w:hAnsi="Times New Roman"/>
          <w:color w:val="FF0000"/>
          <w:szCs w:val="21"/>
          <w:u w:val="single"/>
        </w:rPr>
        <w:t>→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根据导师意见及时修改，直至导师同意开题</w:t>
      </w:r>
    </w:p>
    <w:p>
      <w:pPr>
        <w:snapToGrid w:val="0"/>
        <w:ind w:left="1680" w:leftChars="800"/>
        <w:rPr>
          <w:rFonts w:hint="eastAsia" w:ascii="Times New Roman" w:hAnsi="Times New Roman"/>
          <w:color w:val="FF0000"/>
          <w:szCs w:val="21"/>
          <w:u w:val="single"/>
          <w:lang w:eastAsia="zh-CN"/>
        </w:rPr>
      </w:pPr>
    </w:p>
    <w:p>
      <w:pPr>
        <w:snapToGrid w:val="0"/>
        <w:rPr>
          <w:rFonts w:ascii="Times New Roman" w:hAnsi="Times New Roman"/>
          <w:sz w:val="28"/>
          <w:szCs w:val="28"/>
        </w:rPr>
      </w:pPr>
    </w:p>
    <w:p>
      <w:pPr>
        <w:numPr>
          <w:ilvl w:val="1"/>
          <w:numId w:val="1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i/>
          <w:sz w:val="24"/>
          <w:szCs w:val="24"/>
          <w:u w:val="single"/>
          <w:lang w:eastAsia="zh-CN"/>
        </w:rPr>
        <w:t>开题答辩：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4</w:t>
      </w:r>
      <w:r>
        <w:rPr>
          <w:rFonts w:hint="eastAsia" w:ascii="Times New Roman" w:hAns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szCs w:val="24"/>
        </w:rPr>
        <w:t>日</w:t>
      </w:r>
      <w:r>
        <w:rPr>
          <w:rFonts w:hint="eastAsia" w:ascii="Times New Roman" w:hAnsi="Times New Roman"/>
          <w:sz w:val="24"/>
          <w:szCs w:val="24"/>
          <w:lang w:eastAsia="zh-CN"/>
        </w:rPr>
        <w:t>（暂定）（第七周周四）</w:t>
      </w:r>
    </w:p>
    <w:p>
      <w:pPr>
        <w:numPr>
          <w:ilvl w:val="0"/>
          <w:numId w:val="0"/>
        </w:numPr>
        <w:ind w:left="1440" w:leftChars="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评议结果分为“合格”、“不合格”</w:t>
      </w:r>
    </w:p>
    <w:p>
      <w:pPr>
        <w:numPr>
          <w:ilvl w:val="0"/>
          <w:numId w:val="0"/>
        </w:numPr>
        <w:ind w:left="1440" w:leftChars="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答辩前的准备：（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  <w:lang w:eastAsia="zh-CN"/>
        </w:rPr>
        <w:t>）现场向评审小组提交</w:t>
      </w:r>
      <w:r>
        <w:rPr>
          <w:rFonts w:hint="eastAsia" w:ascii="宋体" w:hAnsi="宋体"/>
          <w:szCs w:val="21"/>
          <w:lang w:val="en-US" w:eastAsia="zh-CN"/>
        </w:rPr>
        <w:t xml:space="preserve"> 份纸质</w:t>
      </w:r>
      <w:r>
        <w:rPr>
          <w:rFonts w:hint="eastAsia" w:ascii="宋体" w:hAnsi="宋体"/>
          <w:szCs w:val="21"/>
          <w:lang w:eastAsia="zh-CN"/>
        </w:rPr>
        <w:t>版开题报告书（个人撰写部分）；（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  <w:lang w:eastAsia="zh-CN"/>
        </w:rPr>
        <w:t>）现场用</w:t>
      </w:r>
      <w:r>
        <w:rPr>
          <w:rFonts w:hint="eastAsia" w:ascii="宋体" w:hAnsi="宋体"/>
          <w:szCs w:val="21"/>
          <w:lang w:val="en-US" w:eastAsia="zh-CN"/>
        </w:rPr>
        <w:t>PPT陈述</w:t>
      </w:r>
    </w:p>
    <w:p>
      <w:pPr>
        <w:snapToGrid w:val="0"/>
        <w:ind w:left="1680" w:leftChars="800"/>
        <w:rPr>
          <w:rFonts w:ascii="Times New Roman" w:hAnsi="Times New Roman"/>
          <w:color w:val="FF0000"/>
          <w:szCs w:val="21"/>
          <w:u w:val="single"/>
        </w:rPr>
      </w:pPr>
      <w:r>
        <w:rPr>
          <w:rFonts w:hint="eastAsia" w:ascii="Times New Roman" w:hAnsi="Times New Roman"/>
          <w:color w:val="FF0000"/>
          <w:szCs w:val="21"/>
          <w:u w:val="single"/>
        </w:rPr>
        <w:t>通过答辩→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根据答辩评议意见修改完善开题报告，提交正式的“开题登记表”</w:t>
      </w:r>
      <w:r>
        <w:rPr>
          <w:rFonts w:hint="eastAsia" w:ascii="Times New Roman" w:hAnsi="Times New Roman"/>
          <w:color w:val="auto"/>
          <w:szCs w:val="21"/>
          <w:u w:val="single"/>
          <w:lang w:eastAsia="zh-CN"/>
        </w:rPr>
        <w:t>（给学科建设科），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并</w:t>
      </w:r>
      <w:r>
        <w:rPr>
          <w:rFonts w:hint="eastAsia" w:ascii="Times New Roman" w:hAnsi="Times New Roman"/>
          <w:color w:val="FF0000"/>
          <w:szCs w:val="21"/>
          <w:u w:val="single"/>
        </w:rPr>
        <w:t>进入步骤</w: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fldChar w:fldCharType="begin"/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instrText xml:space="preserve"> EQ \o\ac(</w:instrText>
      </w:r>
      <w:r>
        <w:rPr>
          <w:rFonts w:hint="eastAsia" w:ascii="Times New Roman" w:hAnsi="Times New Roman"/>
          <w:color w:val="FF0000"/>
          <w:kern w:val="2"/>
          <w:sz w:val="21"/>
          <w:szCs w:val="21"/>
          <w:u w:val="single"/>
          <w:lang w:val="en-US" w:eastAsia="zh-CN" w:bidi="ar-SA"/>
        </w:rPr>
        <w:instrText xml:space="preserve">○</w:instrTex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instrText xml:space="preserve">,</w:instrText>
      </w:r>
      <w:r>
        <w:rPr>
          <w:rFonts w:hint="eastAsia" w:ascii="Times New Roman" w:hAnsi="Times New Roman"/>
          <w:color w:val="FF0000"/>
          <w:kern w:val="2"/>
          <w:position w:val="2"/>
          <w:sz w:val="14"/>
          <w:szCs w:val="21"/>
          <w:u w:val="single"/>
          <w:lang w:val="en-US" w:eastAsia="zh-CN" w:bidi="ar-SA"/>
        </w:rPr>
        <w:instrText xml:space="preserve">4</w:instrTex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instrText xml:space="preserve">)</w:instrTex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fldChar w:fldCharType="end"/>
      </w:r>
    </w:p>
    <w:p>
      <w:pPr>
        <w:snapToGrid w:val="0"/>
        <w:ind w:left="1680" w:leftChars="800"/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</w:pP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未通过答辩</w:t>
      </w:r>
      <w:r>
        <w:rPr>
          <w:rFonts w:hint="eastAsia" w:ascii="Times New Roman" w:hAnsi="Times New Roman"/>
          <w:color w:val="FF0000"/>
          <w:szCs w:val="21"/>
          <w:u w:val="single"/>
        </w:rPr>
        <w:t>→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三个月内重新答辩，</w:t>
      </w:r>
      <w:r>
        <w:rPr>
          <w:rFonts w:hint="eastAsia" w:ascii="Times New Roman" w:hAnsi="Times New Roman"/>
          <w:color w:val="FF0000"/>
          <w:szCs w:val="21"/>
          <w:u w:val="single"/>
        </w:rPr>
        <w:t>通过答辩→进入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上述</w:t>
      </w:r>
      <w:r>
        <w:rPr>
          <w:rFonts w:hint="eastAsia" w:ascii="Times New Roman" w:hAnsi="Times New Roman"/>
          <w:color w:val="FF0000"/>
          <w:szCs w:val="21"/>
          <w:u w:val="single"/>
        </w:rPr>
        <w:t>步骤</w: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t>；</w:t>
      </w:r>
    </w:p>
    <w:p>
      <w:pPr>
        <w:snapToGrid w:val="0"/>
        <w:ind w:left="1680" w:leftChars="800"/>
        <w:rPr>
          <w:rFonts w:hint="eastAsia" w:ascii="Times New Roman" w:hAnsi="Times New Roman"/>
          <w:color w:val="FF0000"/>
          <w:szCs w:val="21"/>
          <w:u w:val="single"/>
          <w:lang w:eastAsia="zh-CN"/>
        </w:rPr>
      </w:pP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未通过答辩</w:t>
      </w:r>
      <w:r>
        <w:rPr>
          <w:rFonts w:hint="eastAsia" w:ascii="Times New Roman" w:hAnsi="Times New Roman"/>
          <w:color w:val="FF0000"/>
          <w:szCs w:val="21"/>
          <w:u w:val="single"/>
        </w:rPr>
        <w:t>→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三个月内重新答辩，未</w:t>
      </w:r>
      <w:r>
        <w:rPr>
          <w:rFonts w:hint="eastAsia" w:ascii="Times New Roman" w:hAnsi="Times New Roman"/>
          <w:color w:val="FF0000"/>
          <w:szCs w:val="21"/>
          <w:u w:val="single"/>
        </w:rPr>
        <w:t>通过答辩→按《湖北民族学院硕士研究生学籍管理实施细则》的有关规定处理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：</w:t>
      </w:r>
      <w:r>
        <w:rPr>
          <w:rFonts w:hint="eastAsia" w:ascii="Times New Roman" w:hAnsi="Times New Roman"/>
          <w:color w:val="FF0000"/>
          <w:szCs w:val="21"/>
          <w:u w:val="single"/>
        </w:rPr>
        <w:t>不宜继续攻读学位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（退学）</w:t>
      </w:r>
    </w:p>
    <w:p>
      <w:pPr>
        <w:snapToGrid w:val="0"/>
        <w:ind w:left="1680" w:leftChars="800"/>
        <w:rPr>
          <w:rFonts w:hint="eastAsia" w:ascii="Times New Roman" w:hAnsi="Times New Roman"/>
          <w:color w:val="FF0000"/>
          <w:szCs w:val="21"/>
          <w:u w:val="none"/>
          <w:lang w:eastAsia="zh-CN"/>
        </w:rPr>
      </w:pPr>
    </w:p>
    <w:p>
      <w:pPr>
        <w:numPr>
          <w:ilvl w:val="1"/>
          <w:numId w:val="1"/>
        </w:numPr>
        <w:snapToGrid w:val="0"/>
        <w:rPr>
          <w:rFonts w:hint="eastAsia" w:ascii="Times New Roman" w:hAnsi="Times New Roman"/>
          <w:b/>
          <w:i/>
          <w:sz w:val="24"/>
          <w:szCs w:val="24"/>
          <w:u w:val="single"/>
          <w:lang w:eastAsia="zh-CN"/>
        </w:rPr>
      </w:pPr>
      <w:r>
        <w:rPr>
          <w:rFonts w:hint="eastAsia" w:ascii="Times New Roman" w:hAnsi="Times New Roman"/>
          <w:b/>
          <w:i/>
          <w:sz w:val="24"/>
          <w:szCs w:val="24"/>
          <w:u w:val="single"/>
          <w:lang w:eastAsia="zh-CN"/>
        </w:rPr>
        <w:t>中期考核（详见下一部分内容）</w:t>
      </w:r>
    </w:p>
    <w:p>
      <w:pPr>
        <w:snapToGrid w:val="0"/>
        <w:ind w:left="1680" w:leftChars="800"/>
        <w:rPr>
          <w:rFonts w:ascii="Times New Roman" w:hAnsi="Times New Roman"/>
          <w:color w:val="FF0000"/>
          <w:szCs w:val="21"/>
          <w:u w:val="single"/>
        </w:rPr>
      </w:pPr>
      <w:r>
        <w:rPr>
          <w:rFonts w:hint="eastAsia" w:ascii="Times New Roman" w:hAnsi="Times New Roman"/>
          <w:color w:val="FF0000"/>
          <w:szCs w:val="21"/>
          <w:u w:val="single"/>
        </w:rPr>
        <w:t>通过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考核</w:t>
      </w:r>
      <w:r>
        <w:rPr>
          <w:rFonts w:hint="eastAsia" w:ascii="Times New Roman" w:hAnsi="Times New Roman"/>
          <w:color w:val="FF0000"/>
          <w:szCs w:val="21"/>
          <w:u w:val="single"/>
        </w:rPr>
        <w:t>→进入步骤</w: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fldChar w:fldCharType="begin"/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instrText xml:space="preserve"> EQ \o\ac(</w:instrText>
      </w:r>
      <w:r>
        <w:rPr>
          <w:rFonts w:hint="eastAsia" w:ascii="Times New Roman" w:hAnsi="Times New Roman"/>
          <w:color w:val="FF0000"/>
          <w:kern w:val="2"/>
          <w:sz w:val="21"/>
          <w:szCs w:val="21"/>
          <w:u w:val="single"/>
          <w:lang w:val="en-US" w:eastAsia="zh-CN" w:bidi="ar-SA"/>
        </w:rPr>
        <w:instrText xml:space="preserve">○</w:instrTex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instrText xml:space="preserve">,</w:instrText>
      </w:r>
      <w:r>
        <w:rPr>
          <w:rFonts w:hint="eastAsia" w:ascii="Times New Roman" w:hAnsi="Times New Roman"/>
          <w:color w:val="FF0000"/>
          <w:kern w:val="2"/>
          <w:position w:val="2"/>
          <w:sz w:val="14"/>
          <w:szCs w:val="21"/>
          <w:u w:val="single"/>
          <w:lang w:val="en-US" w:eastAsia="zh-CN" w:bidi="ar-SA"/>
        </w:rPr>
        <w:instrText xml:space="preserve">5</w:instrTex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instrText xml:space="preserve">)</w:instrTex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fldChar w:fldCharType="end"/>
      </w:r>
    </w:p>
    <w:p>
      <w:pPr>
        <w:numPr>
          <w:ilvl w:val="0"/>
          <w:numId w:val="0"/>
        </w:numPr>
        <w:snapToGrid w:val="0"/>
        <w:ind w:left="840" w:leftChars="0"/>
        <w:rPr>
          <w:rFonts w:hint="eastAsia" w:ascii="Times New Roman" w:hAnsi="Times New Roman"/>
          <w:color w:val="FF0000"/>
          <w:szCs w:val="21"/>
          <w:u w:val="single"/>
        </w:rPr>
      </w:pPr>
      <w:r>
        <w:rPr>
          <w:rFonts w:hint="eastAsia" w:ascii="Times New Roman" w:hAnsi="Times New Roman"/>
          <w:color w:val="FF0000"/>
          <w:szCs w:val="21"/>
          <w:u w:val="none"/>
          <w:lang w:val="en-US" w:eastAsia="zh-CN"/>
        </w:rPr>
        <w:t xml:space="preserve">        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未通过考核</w:t>
      </w:r>
      <w:r>
        <w:rPr>
          <w:rFonts w:hint="eastAsia" w:ascii="Times New Roman" w:hAnsi="Times New Roman"/>
          <w:color w:val="FF0000"/>
          <w:szCs w:val="21"/>
          <w:u w:val="single"/>
        </w:rPr>
        <w:t>→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须两个月内重新申请考核，再考核合格后进入</w:t>
      </w:r>
      <w:r>
        <w:rPr>
          <w:rFonts w:hint="eastAsia" w:ascii="Times New Roman" w:hAnsi="Times New Roman"/>
          <w:color w:val="FF0000"/>
          <w:szCs w:val="21"/>
          <w:u w:val="single"/>
        </w:rPr>
        <w:t>步骤</w: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fldChar w:fldCharType="begin"/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instrText xml:space="preserve"> EQ \o\ac(</w:instrText>
      </w:r>
      <w:r>
        <w:rPr>
          <w:rFonts w:hint="eastAsia" w:ascii="Times New Roman" w:hAnsi="Times New Roman"/>
          <w:color w:val="FF0000"/>
          <w:kern w:val="2"/>
          <w:sz w:val="21"/>
          <w:szCs w:val="21"/>
          <w:u w:val="single"/>
          <w:lang w:val="en-US" w:eastAsia="zh-CN" w:bidi="ar-SA"/>
        </w:rPr>
        <w:instrText xml:space="preserve">○</w:instrTex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instrText xml:space="preserve">,</w:instrText>
      </w:r>
      <w:r>
        <w:rPr>
          <w:rFonts w:hint="eastAsia" w:ascii="Times New Roman" w:hAnsi="Times New Roman"/>
          <w:color w:val="FF0000"/>
          <w:kern w:val="2"/>
          <w:position w:val="2"/>
          <w:sz w:val="14"/>
          <w:szCs w:val="21"/>
          <w:u w:val="single"/>
          <w:lang w:val="en-US" w:eastAsia="zh-CN" w:bidi="ar-SA"/>
        </w:rPr>
        <w:instrText xml:space="preserve">5</w:instrTex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instrText xml:space="preserve">)</w:instrTex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fldChar w:fldCharType="end"/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t>；若再考核未通过，</w:t>
      </w:r>
      <w:r>
        <w:rPr>
          <w:rFonts w:hint="eastAsia" w:ascii="Times New Roman" w:hAnsi="Times New Roman"/>
          <w:color w:val="FF0000"/>
          <w:szCs w:val="21"/>
          <w:u w:val="single"/>
        </w:rPr>
        <w:t>按《湖北民族学院硕士研究生学籍管理实施细则》的有关规定处理</w:t>
      </w:r>
    </w:p>
    <w:p>
      <w:pPr>
        <w:numPr>
          <w:ilvl w:val="0"/>
          <w:numId w:val="0"/>
        </w:numPr>
        <w:snapToGrid w:val="0"/>
        <w:ind w:left="840" w:leftChars="0"/>
        <w:rPr>
          <w:rFonts w:hint="eastAsia" w:ascii="Times New Roman" w:hAnsi="Times New Roman"/>
          <w:color w:val="FF0000"/>
          <w:szCs w:val="21"/>
          <w:u w:val="single"/>
          <w:lang w:eastAsia="zh-CN"/>
        </w:rPr>
      </w:pPr>
    </w:p>
    <w:p>
      <w:pPr>
        <w:numPr>
          <w:ilvl w:val="1"/>
          <w:numId w:val="1"/>
        </w:numPr>
        <w:snapToGrid w:val="0"/>
        <w:rPr>
          <w:rFonts w:hint="eastAsia" w:ascii="Times New Roman" w:hAnsi="Times New Roman"/>
          <w:b/>
          <w:i/>
          <w:sz w:val="24"/>
          <w:szCs w:val="24"/>
          <w:u w:val="single"/>
          <w:lang w:eastAsia="zh-CN"/>
        </w:rPr>
      </w:pPr>
      <w:r>
        <w:rPr>
          <w:rFonts w:hint="eastAsia" w:ascii="Times New Roman" w:hAnsi="Times New Roman"/>
          <w:b/>
          <w:i/>
          <w:sz w:val="24"/>
          <w:szCs w:val="24"/>
          <w:u w:val="single"/>
          <w:lang w:eastAsia="zh-CN"/>
        </w:rPr>
        <w:t>学位论文撰写</w:t>
      </w:r>
    </w:p>
    <w:p>
      <w:pPr>
        <w:numPr>
          <w:ilvl w:val="0"/>
          <w:numId w:val="0"/>
        </w:numPr>
        <w:snapToGrid w:val="0"/>
        <w:ind w:left="840" w:leftChars="0"/>
        <w:rPr>
          <w:rFonts w:ascii="Times New Roman" w:hAnsi="Times New Roman"/>
          <w:sz w:val="24"/>
          <w:szCs w:val="24"/>
        </w:rPr>
      </w:pPr>
    </w:p>
    <w:p>
      <w:pPr>
        <w:snapToGrid w:val="0"/>
        <w:spacing w:line="360" w:lineRule="auto"/>
        <w:ind w:left="84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★</w: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中期考核</w:t>
      </w:r>
      <w:r>
        <w:rPr>
          <w:rFonts w:hint="eastAsia" w:ascii="Times New Roman" w:hAnsi="Times New Roman"/>
          <w:b/>
          <w:sz w:val="28"/>
          <w:szCs w:val="28"/>
        </w:rPr>
        <w:t>流程</w:t>
      </w:r>
    </w:p>
    <w:p>
      <w:pPr>
        <w:numPr>
          <w:ilvl w:val="1"/>
          <w:numId w:val="2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i/>
          <w:sz w:val="24"/>
          <w:szCs w:val="24"/>
          <w:u w:val="single"/>
          <w:lang w:eastAsia="zh-CN"/>
        </w:rPr>
        <w:t>撰写个人总结</w:t>
      </w:r>
      <w:r>
        <w:rPr>
          <w:rFonts w:hint="eastAsia" w:ascii="Times New Roman" w:hAnsi="Times New Roman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</w:rPr>
        <w:t>7年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numPr>
          <w:ilvl w:val="0"/>
          <w:numId w:val="0"/>
        </w:numPr>
        <w:snapToGrid w:val="0"/>
        <w:ind w:left="840" w:leftChars="0" w:firstLine="465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提交给学科建设科张恩老师（电子版）</w:t>
      </w:r>
    </w:p>
    <w:p>
      <w:pPr>
        <w:numPr>
          <w:ilvl w:val="0"/>
          <w:numId w:val="0"/>
        </w:numPr>
        <w:snapToGrid w:val="0"/>
        <w:ind w:left="840" w:leftChars="0" w:firstLine="465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1"/>
          <w:numId w:val="2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i/>
          <w:sz w:val="24"/>
          <w:szCs w:val="24"/>
          <w:u w:val="single"/>
          <w:lang w:eastAsia="zh-CN"/>
        </w:rPr>
        <w:t>填写《中期考核登记表》</w:t>
      </w:r>
      <w:r>
        <w:rPr>
          <w:rFonts w:hint="eastAsia" w:ascii="Times New Roman" w:hAnsi="Times New Roman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</w:rPr>
        <w:t>7年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numPr>
          <w:ilvl w:val="0"/>
          <w:numId w:val="0"/>
        </w:numPr>
        <w:snapToGrid w:val="0"/>
        <w:ind w:left="84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Cs w:val="21"/>
          <w:lang w:val="en-US" w:eastAsia="zh-CN"/>
        </w:rPr>
        <w:t>提交给导师（打印纸质版）</w:t>
      </w:r>
    </w:p>
    <w:p>
      <w:pPr>
        <w:snapToGrid w:val="0"/>
        <w:rPr>
          <w:rFonts w:ascii="Times New Roman" w:hAnsi="Times New Roman"/>
          <w:sz w:val="24"/>
          <w:szCs w:val="24"/>
        </w:rPr>
      </w:pPr>
    </w:p>
    <w:p>
      <w:pPr>
        <w:numPr>
          <w:ilvl w:val="1"/>
          <w:numId w:val="2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i/>
          <w:sz w:val="24"/>
          <w:szCs w:val="24"/>
          <w:u w:val="single"/>
          <w:lang w:eastAsia="zh-CN"/>
        </w:rPr>
        <w:t>考核工作组考核：</w:t>
      </w:r>
      <w:r>
        <w:rPr>
          <w:rFonts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</w:rPr>
        <w:t>7年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>（暂定）</w:t>
      </w:r>
    </w:p>
    <w:p>
      <w:pPr>
        <w:numPr>
          <w:ilvl w:val="0"/>
          <w:numId w:val="0"/>
        </w:numPr>
        <w:snapToGrid w:val="0"/>
        <w:ind w:left="840" w:leftChars="0" w:firstLine="48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注：（1）考核内容：思想品德、课程学习、学位论文开题报告</w:t>
      </w:r>
    </w:p>
    <w:p>
      <w:pPr>
        <w:numPr>
          <w:ilvl w:val="0"/>
          <w:numId w:val="0"/>
        </w:numPr>
        <w:snapToGrid w:val="0"/>
        <w:ind w:left="840" w:leftChars="0" w:firstLine="48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（2）以上三部分均考核“合格”，中期考核计为合格</w:t>
      </w:r>
    </w:p>
    <w:p>
      <w:pPr>
        <w:numPr>
          <w:ilvl w:val="0"/>
          <w:numId w:val="0"/>
        </w:numPr>
        <w:snapToGrid w:val="0"/>
        <w:ind w:left="840" w:leftChars="0" w:firstLine="48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（3）非现场考核，集体考核</w:t>
      </w:r>
    </w:p>
    <w:p>
      <w:pPr>
        <w:numPr>
          <w:ilvl w:val="0"/>
          <w:numId w:val="0"/>
        </w:numPr>
        <w:snapToGrid w:val="0"/>
        <w:ind w:left="840" w:leftChars="0" w:firstLine="480"/>
        <w:rPr>
          <w:rFonts w:hint="eastAsia" w:ascii="宋体" w:hAnsi="宋体"/>
          <w:szCs w:val="21"/>
          <w:lang w:val="en-US" w:eastAsia="zh-CN"/>
        </w:rPr>
      </w:pPr>
    </w:p>
    <w:p>
      <w:pPr>
        <w:snapToGrid w:val="0"/>
        <w:ind w:left="1680" w:leftChars="800"/>
        <w:rPr>
          <w:rFonts w:ascii="Times New Roman" w:hAnsi="Times New Roman"/>
          <w:color w:val="FF0000"/>
          <w:szCs w:val="21"/>
          <w:u w:val="single"/>
        </w:rPr>
      </w:pPr>
      <w:r>
        <w:rPr>
          <w:rFonts w:hint="eastAsia" w:ascii="Times New Roman" w:hAnsi="Times New Roman"/>
          <w:color w:val="FF0000"/>
          <w:szCs w:val="21"/>
          <w:u w:val="single"/>
        </w:rPr>
        <w:t>通过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考核</w:t>
      </w:r>
      <w:r>
        <w:rPr>
          <w:rFonts w:hint="eastAsia" w:ascii="Times New Roman" w:hAnsi="Times New Roman"/>
          <w:color w:val="FF0000"/>
          <w:szCs w:val="21"/>
          <w:u w:val="single"/>
        </w:rPr>
        <w:t>→进入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毕业论文正式撰写阶段</w:t>
      </w:r>
    </w:p>
    <w:p>
      <w:pPr>
        <w:numPr>
          <w:ilvl w:val="0"/>
          <w:numId w:val="0"/>
        </w:numPr>
        <w:snapToGrid w:val="0"/>
        <w:ind w:left="840" w:leftChars="0"/>
        <w:rPr>
          <w:rFonts w:hint="eastAsia" w:ascii="Times New Roman" w:hAnsi="Times New Roman"/>
          <w:color w:val="FF0000"/>
          <w:szCs w:val="21"/>
          <w:u w:val="single"/>
        </w:rPr>
      </w:pPr>
      <w:r>
        <w:rPr>
          <w:rFonts w:hint="eastAsia" w:ascii="Times New Roman" w:hAnsi="Times New Roman"/>
          <w:color w:val="FF0000"/>
          <w:szCs w:val="21"/>
          <w:u w:val="none"/>
          <w:lang w:val="en-US" w:eastAsia="zh-CN"/>
        </w:rPr>
        <w:t xml:space="preserve">        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未通过考核</w:t>
      </w:r>
      <w:r>
        <w:rPr>
          <w:rFonts w:hint="eastAsia" w:ascii="Times New Roman" w:hAnsi="Times New Roman"/>
          <w:color w:val="FF0000"/>
          <w:szCs w:val="21"/>
          <w:u w:val="single"/>
        </w:rPr>
        <w:t>→</w:t>
      </w:r>
      <w:r>
        <w:rPr>
          <w:rFonts w:hint="eastAsia" w:ascii="Times New Roman" w:hAnsi="Times New Roman"/>
          <w:color w:val="FF0000"/>
          <w:szCs w:val="21"/>
          <w:u w:val="single"/>
          <w:lang w:eastAsia="zh-CN"/>
        </w:rPr>
        <w:t>须两个月内重新申请考核，再考核合格后开始毕业论文正式撰写阶段</w:t>
      </w:r>
      <w:r>
        <w:rPr>
          <w:rFonts w:hint="eastAsia" w:ascii="Times New Roman" w:hAnsi="Times New Roman"/>
          <w:color w:val="FF0000"/>
          <w:szCs w:val="21"/>
          <w:u w:val="single"/>
          <w:lang w:val="en-US" w:eastAsia="zh-CN"/>
        </w:rPr>
        <w:t>；若再考核未通过，</w:t>
      </w:r>
      <w:r>
        <w:rPr>
          <w:rFonts w:hint="eastAsia" w:ascii="Times New Roman" w:hAnsi="Times New Roman"/>
          <w:color w:val="FF0000"/>
          <w:szCs w:val="21"/>
          <w:u w:val="single"/>
        </w:rPr>
        <w:t>按《湖北民族学院硕士研究生学籍管理实施细则》的有关规定处理</w:t>
      </w:r>
    </w:p>
    <w:p>
      <w:pPr>
        <w:numPr>
          <w:ilvl w:val="0"/>
          <w:numId w:val="0"/>
        </w:numPr>
        <w:snapToGrid w:val="0"/>
        <w:ind w:left="840" w:leftChars="0"/>
        <w:rPr>
          <w:rFonts w:hint="eastAsia" w:ascii="Times New Roman" w:hAnsi="Times New Roman"/>
          <w:color w:val="FF0000"/>
          <w:szCs w:val="21"/>
          <w:u w:val="single"/>
        </w:rPr>
      </w:pPr>
    </w:p>
    <w:p>
      <w:pPr>
        <w:numPr>
          <w:ilvl w:val="1"/>
          <w:numId w:val="2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i/>
          <w:sz w:val="24"/>
          <w:szCs w:val="24"/>
          <w:u w:val="single"/>
          <w:lang w:eastAsia="zh-CN"/>
        </w:rPr>
        <w:t>考核领导组审查：</w:t>
      </w:r>
      <w:r>
        <w:rPr>
          <w:rFonts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</w:rPr>
        <w:t>7年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z w:val="24"/>
          <w:szCs w:val="24"/>
        </w:rPr>
        <w:t>日</w:t>
      </w:r>
      <w:bookmarkStart w:id="0" w:name="_GoBack"/>
      <w:bookmarkEnd w:id="0"/>
    </w:p>
    <w:p/>
    <w:p/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/>
          <w:sz w:val="24"/>
          <w:szCs w:val="28"/>
          <w:lang w:val="en-US" w:eastAsia="zh-CN"/>
        </w:rPr>
        <w:t xml:space="preserve"> 法学院学科建设科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                              2017年2月27日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23518"/>
    <w:multiLevelType w:val="multilevel"/>
    <w:tmpl w:val="36A23518"/>
    <w:lvl w:ilvl="0" w:tentative="0">
      <w:start w:val="1"/>
      <w:numFmt w:val="chineseCountingThousand"/>
      <w:lvlText w:val="%1、"/>
      <w:lvlJc w:val="left"/>
      <w:pPr>
        <w:tabs>
          <w:tab w:val="left" w:pos="840"/>
        </w:tabs>
        <w:ind w:left="84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260"/>
        </w:tabs>
        <w:ind w:left="1260" w:hanging="420"/>
      </w:pPr>
      <w:rPr>
        <w:rFonts w:ascii="Times New Roman" w:hAnsi="Times New Roman" w:eastAsia="Times New Roman" w:cs="Times New Roman"/>
      </w:rPr>
    </w:lvl>
    <w:lvl w:ilvl="2" w:tentative="0">
      <w:start w:val="1"/>
      <w:numFmt w:val="decimal"/>
      <w:lvlText w:val="（%3）"/>
      <w:lvlJc w:val="left"/>
      <w:pPr>
        <w:tabs>
          <w:tab w:val="left" w:pos="2160"/>
        </w:tabs>
        <w:ind w:left="2160" w:hanging="720"/>
      </w:pPr>
      <w:rPr>
        <w:rFonts w:hint="default" w:cs="Times New Roman"/>
        <w:sz w:val="21"/>
        <w:szCs w:val="21"/>
      </w:rPr>
    </w:lvl>
    <w:lvl w:ilvl="3" w:tentative="0">
      <w:start w:val="1"/>
      <w:numFmt w:val="lowerLetter"/>
      <w:lvlText w:val="%4."/>
      <w:lvlJc w:val="left"/>
      <w:pPr>
        <w:tabs>
          <w:tab w:val="left" w:pos="2100"/>
        </w:tabs>
        <w:ind w:left="2100" w:hanging="420"/>
      </w:pPr>
      <w:rPr>
        <w:rFonts w:hint="eastAsia" w:cs="Times New Roman"/>
      </w:rPr>
    </w:lvl>
    <w:lvl w:ilvl="4" w:tentative="0">
      <w:start w:val="1"/>
      <w:numFmt w:val="decimal"/>
      <w:lvlText w:val="(%5)"/>
      <w:lvlJc w:val="left"/>
      <w:pPr>
        <w:tabs>
          <w:tab w:val="left" w:pos="2460"/>
        </w:tabs>
        <w:ind w:left="2460" w:hanging="360"/>
      </w:pPr>
      <w:rPr>
        <w:rFonts w:hint="default" w:cs="Times New Roman"/>
        <w:color w:val="0000FF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abstractNum w:abstractNumId="1">
    <w:nsid w:val="58B3F141"/>
    <w:multiLevelType w:val="multilevel"/>
    <w:tmpl w:val="58B3F141"/>
    <w:lvl w:ilvl="0" w:tentative="0">
      <w:start w:val="1"/>
      <w:numFmt w:val="chineseCountingThousand"/>
      <w:lvlText w:val="%1、"/>
      <w:lvlJc w:val="left"/>
      <w:pPr>
        <w:tabs>
          <w:tab w:val="left" w:pos="840"/>
        </w:tabs>
        <w:ind w:left="84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260"/>
        </w:tabs>
        <w:ind w:left="1260" w:hanging="420"/>
      </w:pPr>
      <w:rPr>
        <w:rFonts w:ascii="Times New Roman" w:hAnsi="Times New Roman" w:eastAsia="Times New Roman" w:cs="Times New Roman"/>
      </w:rPr>
    </w:lvl>
    <w:lvl w:ilvl="2" w:tentative="0">
      <w:start w:val="1"/>
      <w:numFmt w:val="decimal"/>
      <w:lvlText w:val="（%3）"/>
      <w:lvlJc w:val="left"/>
      <w:pPr>
        <w:tabs>
          <w:tab w:val="left" w:pos="2160"/>
        </w:tabs>
        <w:ind w:left="2160" w:hanging="720"/>
      </w:pPr>
      <w:rPr>
        <w:rFonts w:hint="default" w:cs="Times New Roman"/>
        <w:sz w:val="21"/>
        <w:szCs w:val="21"/>
      </w:rPr>
    </w:lvl>
    <w:lvl w:ilvl="3" w:tentative="0">
      <w:start w:val="1"/>
      <w:numFmt w:val="lowerLetter"/>
      <w:lvlText w:val="%4."/>
      <w:lvlJc w:val="left"/>
      <w:pPr>
        <w:tabs>
          <w:tab w:val="left" w:pos="2100"/>
        </w:tabs>
        <w:ind w:left="2100" w:hanging="420"/>
      </w:pPr>
      <w:rPr>
        <w:rFonts w:hint="eastAsia" w:cs="Times New Roman"/>
      </w:rPr>
    </w:lvl>
    <w:lvl w:ilvl="4" w:tentative="0">
      <w:start w:val="1"/>
      <w:numFmt w:val="decimal"/>
      <w:lvlText w:val="(%5)"/>
      <w:lvlJc w:val="left"/>
      <w:pPr>
        <w:tabs>
          <w:tab w:val="left" w:pos="2460"/>
        </w:tabs>
        <w:ind w:left="2460" w:hanging="360"/>
      </w:pPr>
      <w:rPr>
        <w:rFonts w:hint="default" w:cs="Times New Roman"/>
        <w:color w:val="0000FF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B14D3"/>
    <w:rsid w:val="033B2536"/>
    <w:rsid w:val="054D1197"/>
    <w:rsid w:val="0AF34931"/>
    <w:rsid w:val="0C786D7B"/>
    <w:rsid w:val="10F61F89"/>
    <w:rsid w:val="11AB14D3"/>
    <w:rsid w:val="138D1E6E"/>
    <w:rsid w:val="1546255F"/>
    <w:rsid w:val="16C021DC"/>
    <w:rsid w:val="1AA66BA5"/>
    <w:rsid w:val="272F3FF4"/>
    <w:rsid w:val="274530C7"/>
    <w:rsid w:val="2B2F2D46"/>
    <w:rsid w:val="32A1711C"/>
    <w:rsid w:val="51737C0A"/>
    <w:rsid w:val="53A33FE4"/>
    <w:rsid w:val="559F72CD"/>
    <w:rsid w:val="583C3C5B"/>
    <w:rsid w:val="5B0D0B81"/>
    <w:rsid w:val="67CE18D8"/>
    <w:rsid w:val="6A045E74"/>
    <w:rsid w:val="74D175D5"/>
    <w:rsid w:val="782D33C8"/>
    <w:rsid w:val="78CC2C79"/>
    <w:rsid w:val="7FD15B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2017-02-27T08:52:00Z</dcterms:created>
  <dc:creator>Administrator</dc:creator>
  <cp:lastModifiedBy>Administrator</cp:lastModifiedBy>
  <dcterms:modified xsi:type="dcterms:W3CDTF">2017-02-28T02:29:52Z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