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19E" w:rsidRDefault="0002119E" w:rsidP="004368EA">
      <w:pPr>
        <w:widowControl/>
        <w:jc w:val="center"/>
        <w:rPr>
          <w:rFonts w:ascii="黑体" w:eastAsia="黑体" w:hAnsi="黑体" w:cs="Times New Roman"/>
          <w:b/>
          <w:bCs/>
          <w:color w:val="000000"/>
          <w:kern w:val="0"/>
          <w:sz w:val="36"/>
          <w:szCs w:val="36"/>
        </w:rPr>
      </w:pPr>
      <w:r w:rsidRPr="004368EA">
        <w:rPr>
          <w:rFonts w:ascii="黑体" w:eastAsia="黑体" w:hAnsi="黑体" w:cs="黑体" w:hint="eastAsia"/>
          <w:b/>
          <w:bCs/>
          <w:color w:val="000000"/>
          <w:kern w:val="0"/>
          <w:sz w:val="36"/>
          <w:szCs w:val="36"/>
        </w:rPr>
        <w:t>财政部教育部关于进一步提高地方普通本科高校</w:t>
      </w:r>
    </w:p>
    <w:p w:rsidR="0002119E" w:rsidRPr="004368EA" w:rsidRDefault="0002119E" w:rsidP="004368EA">
      <w:pPr>
        <w:widowControl/>
        <w:jc w:val="center"/>
        <w:rPr>
          <w:rFonts w:ascii="黑体" w:eastAsia="黑体" w:hAnsi="黑体" w:cs="Times New Roman"/>
          <w:color w:val="000000"/>
          <w:kern w:val="0"/>
          <w:sz w:val="36"/>
          <w:szCs w:val="36"/>
        </w:rPr>
      </w:pPr>
      <w:r w:rsidRPr="004368EA">
        <w:rPr>
          <w:rFonts w:ascii="黑体" w:eastAsia="黑体" w:hAnsi="黑体" w:cs="黑体" w:hint="eastAsia"/>
          <w:b/>
          <w:bCs/>
          <w:color w:val="000000"/>
          <w:kern w:val="0"/>
          <w:sz w:val="36"/>
          <w:szCs w:val="36"/>
        </w:rPr>
        <w:t>生均拨款水平的意见</w:t>
      </w:r>
    </w:p>
    <w:p w:rsidR="0002119E" w:rsidRDefault="0002119E" w:rsidP="004368EA">
      <w:pPr>
        <w:widowControl/>
        <w:jc w:val="center"/>
        <w:rPr>
          <w:rFonts w:ascii="Verdana" w:hAnsi="Verdana" w:cs="Verdana"/>
          <w:color w:val="000000"/>
          <w:kern w:val="0"/>
          <w:sz w:val="24"/>
          <w:szCs w:val="24"/>
        </w:rPr>
      </w:pPr>
    </w:p>
    <w:p w:rsidR="0002119E" w:rsidRPr="000016B9" w:rsidRDefault="0002119E" w:rsidP="004368EA">
      <w:pPr>
        <w:widowControl/>
        <w:spacing w:line="360" w:lineRule="auto"/>
        <w:jc w:val="center"/>
        <w:rPr>
          <w:rFonts w:ascii="Verdana" w:hAnsi="Verdana" w:cs="Verdana"/>
          <w:color w:val="000000"/>
          <w:kern w:val="0"/>
          <w:sz w:val="24"/>
          <w:szCs w:val="24"/>
        </w:rPr>
      </w:pPr>
      <w:r w:rsidRPr="000016B9">
        <w:rPr>
          <w:rFonts w:ascii="Verdana" w:hAnsi="Verdana" w:cs="宋体" w:hint="eastAsia"/>
          <w:color w:val="000000"/>
          <w:kern w:val="0"/>
          <w:sz w:val="24"/>
          <w:szCs w:val="24"/>
        </w:rPr>
        <w:t>财教</w:t>
      </w:r>
      <w:r w:rsidRPr="000016B9">
        <w:rPr>
          <w:rFonts w:ascii="Verdana" w:hAnsi="Verdana" w:cs="Verdana"/>
          <w:color w:val="000000"/>
          <w:kern w:val="0"/>
          <w:sz w:val="24"/>
          <w:szCs w:val="24"/>
        </w:rPr>
        <w:t>[2010]567</w:t>
      </w:r>
      <w:r w:rsidRPr="000016B9">
        <w:rPr>
          <w:rFonts w:ascii="Verdana" w:hAnsi="Verdana" w:cs="宋体" w:hint="eastAsia"/>
          <w:color w:val="000000"/>
          <w:kern w:val="0"/>
          <w:sz w:val="24"/>
          <w:szCs w:val="24"/>
        </w:rPr>
        <w:t>号</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color w:val="000000"/>
          <w:kern w:val="0"/>
          <w:sz w:val="32"/>
          <w:szCs w:val="32"/>
        </w:rPr>
        <w:t xml:space="preserve">各省、自治区、直辖市、计划单列市财政厅（局）、教育厅（教委，教育局）：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color w:val="000000"/>
          <w:kern w:val="0"/>
          <w:sz w:val="32"/>
          <w:szCs w:val="32"/>
        </w:rPr>
        <w:t xml:space="preserve">　　根据《国家中长期教育改革和发展规划纲要（</w:t>
      </w:r>
      <w:r w:rsidRPr="004368EA">
        <w:rPr>
          <w:rFonts w:ascii="方正仿宋简体" w:eastAsia="方正仿宋简体" w:hAnsi="Verdana" w:cs="方正仿宋简体"/>
          <w:color w:val="000000"/>
          <w:kern w:val="0"/>
          <w:sz w:val="32"/>
          <w:szCs w:val="32"/>
        </w:rPr>
        <w:t>2010</w:t>
      </w:r>
      <w:r w:rsidRPr="004368EA">
        <w:rPr>
          <w:rFonts w:ascii="方正仿宋简体" w:eastAsia="方正仿宋简体" w:hAnsi="Verdana" w:cs="方正仿宋简体"/>
          <w:color w:val="000000"/>
          <w:kern w:val="0"/>
          <w:sz w:val="32"/>
          <w:szCs w:val="32"/>
        </w:rPr>
        <w:t>—</w:t>
      </w:r>
      <w:r w:rsidRPr="004368EA">
        <w:rPr>
          <w:rFonts w:ascii="方正仿宋简体" w:eastAsia="方正仿宋简体" w:hAnsi="Verdana" w:cs="方正仿宋简体"/>
          <w:color w:val="000000"/>
          <w:kern w:val="0"/>
          <w:sz w:val="32"/>
          <w:szCs w:val="32"/>
        </w:rPr>
        <w:t>2020</w:t>
      </w:r>
      <w:r w:rsidRPr="004368EA">
        <w:rPr>
          <w:rFonts w:ascii="方正仿宋简体" w:eastAsia="方正仿宋简体" w:hAnsi="Verdana" w:cs="方正仿宋简体" w:hint="eastAsia"/>
          <w:color w:val="000000"/>
          <w:kern w:val="0"/>
          <w:sz w:val="32"/>
          <w:szCs w:val="32"/>
        </w:rPr>
        <w:t xml:space="preserve">年）》精神，为促进区域间高等教育事业协调发展，全面提高高等教育质量，现就进一步提高地方所属公办普通本科高校（以下简称地方高校）生均拨款水平提出如下意见：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b/>
          <w:bCs/>
          <w:color w:val="000000"/>
          <w:kern w:val="0"/>
          <w:sz w:val="32"/>
          <w:szCs w:val="32"/>
        </w:rPr>
        <w:t xml:space="preserve">　　一、充分认识进一步提高地方高校生均拨款水平的重要意义</w:t>
      </w:r>
      <w:r w:rsidRPr="004368EA">
        <w:rPr>
          <w:rFonts w:ascii="方正仿宋简体" w:eastAsia="方正仿宋简体" w:hAnsi="Verdana" w:cs="方正仿宋简体" w:hint="eastAsia"/>
          <w:color w:val="000000"/>
          <w:kern w:val="0"/>
          <w:sz w:val="32"/>
          <w:szCs w:val="32"/>
        </w:rPr>
        <w:t xml:space="preserve">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color w:val="000000"/>
          <w:kern w:val="0"/>
          <w:sz w:val="32"/>
          <w:szCs w:val="32"/>
        </w:rPr>
        <w:t xml:space="preserve">　　近年来，地方高校在高等教育大众化进程中承担了主体任务，培养了大批经济社会发展所需要的高素质人才，为我国现代化建设做出了重要贡献。随着高等教育大众化进程和管理体制改革的不断推进，地方高校将在建设高等教育强国和人力资源强国方面发挥越来越重要的作用。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color w:val="000000"/>
          <w:kern w:val="0"/>
          <w:sz w:val="32"/>
          <w:szCs w:val="32"/>
        </w:rPr>
        <w:t xml:space="preserve">　　通过各级政府以及财政、教育部门的共同努力，我国高等教育经费投入总量持续增长，为高等教育事业实现跨越式发展提供了有力保障。但是，目前地方高等教育投入机制仍然不同程度地存在一些突出问题：政府投入为主、受教育者合理分担、其他多种渠道筹措经费的机制还不健全；财政拨款体系尚不能充分体现地方高校人才培养、科学研究和社会服务等职能；财政投入的导向作用不明显，不能实现分类支持和引导；地方高校总体投入水平仍然偏低，区域间差异较大；一些地方高校生均拨款水平较低，基本办学条件仍然有待改善，等等。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color w:val="000000"/>
          <w:kern w:val="0"/>
          <w:sz w:val="32"/>
          <w:szCs w:val="32"/>
        </w:rPr>
        <w:t xml:space="preserve">　　按照党中央、国务院的部署，我国高等教育已从以大规模扩招为特征的外延式发展转入以提高质量为特征的内涵式发展阶段。新形势下，应当逐步解决地方高等教育投入机制存在的问题，积极探索符合地方高等教育发展实际和公共财政要求的新思路、新举措，进一步加大地方高等教育财政投入，使地方高校更好地承担起实施科教兴国战略和人才强国战略、建设创新型国家的历史使命。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b/>
          <w:bCs/>
          <w:color w:val="000000"/>
          <w:kern w:val="0"/>
          <w:sz w:val="32"/>
          <w:szCs w:val="32"/>
        </w:rPr>
        <w:t xml:space="preserve">　　二、进一步提高地方高校生均拨款水平</w:t>
      </w:r>
      <w:r w:rsidRPr="004368EA">
        <w:rPr>
          <w:rFonts w:ascii="方正仿宋简体" w:eastAsia="方正仿宋简体" w:hAnsi="Verdana" w:cs="方正仿宋简体" w:hint="eastAsia"/>
          <w:color w:val="000000"/>
          <w:kern w:val="0"/>
          <w:sz w:val="32"/>
          <w:szCs w:val="32"/>
        </w:rPr>
        <w:t xml:space="preserve">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color w:val="000000"/>
          <w:kern w:val="0"/>
          <w:sz w:val="32"/>
          <w:szCs w:val="32"/>
        </w:rPr>
        <w:t xml:space="preserve">　　按照现行财政体制和“分级办学、分级管理”的高校管理体制，地方高校主要由地方政府管理。各地要认真贯彻落实《高等教育法》、《国家中长期教育改革和发展规划纲要（</w:t>
      </w:r>
      <w:r w:rsidRPr="004368EA">
        <w:rPr>
          <w:rFonts w:ascii="方正仿宋简体" w:eastAsia="方正仿宋简体" w:hAnsi="Verdana" w:cs="方正仿宋简体"/>
          <w:color w:val="000000"/>
          <w:kern w:val="0"/>
          <w:sz w:val="32"/>
          <w:szCs w:val="32"/>
        </w:rPr>
        <w:t>2010</w:t>
      </w:r>
      <w:r w:rsidRPr="004368EA">
        <w:rPr>
          <w:rFonts w:ascii="方正仿宋简体" w:eastAsia="方正仿宋简体" w:hAnsi="Verdana" w:cs="方正仿宋简体"/>
          <w:color w:val="000000"/>
          <w:kern w:val="0"/>
          <w:sz w:val="32"/>
          <w:szCs w:val="32"/>
        </w:rPr>
        <w:t>—</w:t>
      </w:r>
      <w:r w:rsidRPr="004368EA">
        <w:rPr>
          <w:rFonts w:ascii="方正仿宋简体" w:eastAsia="方正仿宋简体" w:hAnsi="Verdana" w:cs="方正仿宋简体"/>
          <w:color w:val="000000"/>
          <w:kern w:val="0"/>
          <w:sz w:val="32"/>
          <w:szCs w:val="32"/>
        </w:rPr>
        <w:t>2020</w:t>
      </w:r>
      <w:r w:rsidRPr="004368EA">
        <w:rPr>
          <w:rFonts w:ascii="方正仿宋简体" w:eastAsia="方正仿宋简体" w:hAnsi="Verdana" w:cs="方正仿宋简体" w:hint="eastAsia"/>
          <w:color w:val="000000"/>
          <w:kern w:val="0"/>
          <w:sz w:val="32"/>
          <w:szCs w:val="32"/>
        </w:rPr>
        <w:t xml:space="preserve">年）》中关于高等教育投入的相关规定，进一步加大地方高等教育财政投入。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color w:val="000000"/>
          <w:kern w:val="0"/>
          <w:sz w:val="32"/>
          <w:szCs w:val="32"/>
        </w:rPr>
        <w:t xml:space="preserve">　　各地要根据高校合理需要，制定本地区地方高校生均拨款基本标准。在此基础上，结合财力情况、物价变动水平、高校在校生人数变化、工资标准调整等因素，建立地方高校生均拨款标准动态调整机制，逐步提高生均拨款水平。原则上，</w:t>
      </w:r>
      <w:r w:rsidRPr="004368EA">
        <w:rPr>
          <w:rFonts w:ascii="方正仿宋简体" w:eastAsia="方正仿宋简体" w:hAnsi="Verdana" w:cs="方正仿宋简体"/>
          <w:color w:val="000000"/>
          <w:kern w:val="0"/>
          <w:sz w:val="32"/>
          <w:szCs w:val="32"/>
        </w:rPr>
        <w:t>2012</w:t>
      </w:r>
      <w:r w:rsidRPr="004368EA">
        <w:rPr>
          <w:rFonts w:ascii="方正仿宋简体" w:eastAsia="方正仿宋简体" w:hAnsi="Verdana" w:cs="方正仿宋简体" w:hint="eastAsia"/>
          <w:color w:val="000000"/>
          <w:kern w:val="0"/>
          <w:sz w:val="32"/>
          <w:szCs w:val="32"/>
        </w:rPr>
        <w:t>年各地地方高校生均拨款水平（指政府收支分类科目“</w:t>
      </w:r>
      <w:r w:rsidRPr="004368EA">
        <w:rPr>
          <w:rFonts w:ascii="方正仿宋简体" w:eastAsia="方正仿宋简体" w:hAnsi="Verdana" w:cs="方正仿宋简体"/>
          <w:color w:val="000000"/>
          <w:kern w:val="0"/>
          <w:sz w:val="32"/>
          <w:szCs w:val="32"/>
        </w:rPr>
        <w:t>2050205</w:t>
      </w:r>
      <w:r w:rsidRPr="004368EA">
        <w:rPr>
          <w:rFonts w:ascii="方正仿宋简体" w:eastAsia="方正仿宋简体" w:hAnsi="Verdana" w:cs="方正仿宋简体" w:hint="eastAsia"/>
          <w:color w:val="000000"/>
          <w:kern w:val="0"/>
          <w:sz w:val="32"/>
          <w:szCs w:val="32"/>
        </w:rPr>
        <w:t>高等教育”中，地方财政通过一般预算安排用于支持地方高校发展的经费，按在校生人数折算的平均水平；包括基本支出和项目支出，不含中央财政安排的专项经费）不低于</w:t>
      </w:r>
      <w:r w:rsidRPr="004368EA">
        <w:rPr>
          <w:rFonts w:ascii="方正仿宋简体" w:eastAsia="方正仿宋简体" w:hAnsi="Verdana" w:cs="方正仿宋简体"/>
          <w:color w:val="000000"/>
          <w:kern w:val="0"/>
          <w:sz w:val="32"/>
          <w:szCs w:val="32"/>
        </w:rPr>
        <w:t>12000</w:t>
      </w:r>
      <w:r w:rsidRPr="004368EA">
        <w:rPr>
          <w:rFonts w:ascii="方正仿宋简体" w:eastAsia="方正仿宋简体" w:hAnsi="Verdana" w:cs="方正仿宋简体" w:hint="eastAsia"/>
          <w:color w:val="000000"/>
          <w:kern w:val="0"/>
          <w:sz w:val="32"/>
          <w:szCs w:val="32"/>
        </w:rPr>
        <w:t xml:space="preserve">元。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b/>
          <w:bCs/>
          <w:color w:val="000000"/>
          <w:kern w:val="0"/>
          <w:sz w:val="32"/>
          <w:szCs w:val="32"/>
        </w:rPr>
        <w:t xml:space="preserve">　　三、促进区域之间高等教育协调发展</w:t>
      </w:r>
      <w:r w:rsidRPr="004368EA">
        <w:rPr>
          <w:rFonts w:ascii="方正仿宋简体" w:eastAsia="方正仿宋简体" w:hAnsi="Verdana" w:cs="方正仿宋简体" w:hint="eastAsia"/>
          <w:color w:val="000000"/>
          <w:kern w:val="0"/>
          <w:sz w:val="32"/>
          <w:szCs w:val="32"/>
        </w:rPr>
        <w:t xml:space="preserve">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color w:val="000000"/>
          <w:kern w:val="0"/>
          <w:sz w:val="32"/>
          <w:szCs w:val="32"/>
        </w:rPr>
        <w:t xml:space="preserve">　　为促进区域之间高等教育协调发展，引导和鼓励各地切实加大地方高等教育财政投入，从</w:t>
      </w:r>
      <w:r w:rsidRPr="004368EA">
        <w:rPr>
          <w:rFonts w:ascii="方正仿宋简体" w:eastAsia="方正仿宋简体" w:hAnsi="Verdana" w:cs="方正仿宋简体"/>
          <w:color w:val="000000"/>
          <w:kern w:val="0"/>
          <w:sz w:val="32"/>
          <w:szCs w:val="32"/>
        </w:rPr>
        <w:t>2010</w:t>
      </w:r>
      <w:r w:rsidRPr="004368EA">
        <w:rPr>
          <w:rFonts w:ascii="方正仿宋简体" w:eastAsia="方正仿宋简体" w:hAnsi="Verdana" w:cs="方正仿宋简体" w:hint="eastAsia"/>
          <w:color w:val="000000"/>
          <w:kern w:val="0"/>
          <w:sz w:val="32"/>
          <w:szCs w:val="32"/>
        </w:rPr>
        <w:t>年起，中央财政建立“以奖代补”机制。对于生均拨款水平已经达到</w:t>
      </w:r>
      <w:r w:rsidRPr="004368EA">
        <w:rPr>
          <w:rFonts w:ascii="方正仿宋简体" w:eastAsia="方正仿宋简体" w:hAnsi="Verdana" w:cs="方正仿宋简体"/>
          <w:color w:val="000000"/>
          <w:kern w:val="0"/>
          <w:sz w:val="32"/>
          <w:szCs w:val="32"/>
        </w:rPr>
        <w:t>12000</w:t>
      </w:r>
      <w:r w:rsidRPr="004368EA">
        <w:rPr>
          <w:rFonts w:ascii="方正仿宋简体" w:eastAsia="方正仿宋简体" w:hAnsi="Verdana" w:cs="方正仿宋简体" w:hint="eastAsia"/>
          <w:color w:val="000000"/>
          <w:kern w:val="0"/>
          <w:sz w:val="32"/>
          <w:szCs w:val="32"/>
        </w:rPr>
        <w:t>元的省份，在生均拨款水平没有下降的情况下，中央财政每年给予定额奖励。对于生均拨款水平尚未达到</w:t>
      </w:r>
      <w:r w:rsidRPr="004368EA">
        <w:rPr>
          <w:rFonts w:ascii="方正仿宋简体" w:eastAsia="方正仿宋简体" w:hAnsi="Verdana" w:cs="方正仿宋简体"/>
          <w:color w:val="000000"/>
          <w:kern w:val="0"/>
          <w:sz w:val="32"/>
          <w:szCs w:val="32"/>
        </w:rPr>
        <w:t>12000</w:t>
      </w:r>
      <w:r w:rsidRPr="004368EA">
        <w:rPr>
          <w:rFonts w:ascii="方正仿宋简体" w:eastAsia="方正仿宋简体" w:hAnsi="Verdana" w:cs="方正仿宋简体" w:hint="eastAsia"/>
          <w:color w:val="000000"/>
          <w:kern w:val="0"/>
          <w:sz w:val="32"/>
          <w:szCs w:val="32"/>
        </w:rPr>
        <w:t>元的省份，中央财政对各省份提高生均拨款水平所需经费按一定比例进行奖补。各省份具体的奖补比例，根据东部地区</w:t>
      </w:r>
      <w:r w:rsidRPr="004368EA">
        <w:rPr>
          <w:rFonts w:ascii="方正仿宋简体" w:eastAsia="方正仿宋简体" w:hAnsi="Verdana" w:cs="方正仿宋简体"/>
          <w:color w:val="000000"/>
          <w:kern w:val="0"/>
          <w:sz w:val="32"/>
          <w:szCs w:val="32"/>
        </w:rPr>
        <w:t>25%</w:t>
      </w:r>
      <w:r w:rsidRPr="004368EA">
        <w:rPr>
          <w:rFonts w:ascii="方正仿宋简体" w:eastAsia="方正仿宋简体" w:hAnsi="Verdana" w:cs="方正仿宋简体" w:hint="eastAsia"/>
          <w:color w:val="000000"/>
          <w:kern w:val="0"/>
          <w:sz w:val="32"/>
          <w:szCs w:val="32"/>
        </w:rPr>
        <w:t>、中西部地区</w:t>
      </w:r>
      <w:r w:rsidRPr="004368EA">
        <w:rPr>
          <w:rFonts w:ascii="方正仿宋简体" w:eastAsia="方正仿宋简体" w:hAnsi="Verdana" w:cs="方正仿宋简体"/>
          <w:color w:val="000000"/>
          <w:kern w:val="0"/>
          <w:sz w:val="32"/>
          <w:szCs w:val="32"/>
        </w:rPr>
        <w:t>35%</w:t>
      </w:r>
      <w:r w:rsidRPr="004368EA">
        <w:rPr>
          <w:rFonts w:ascii="方正仿宋简体" w:eastAsia="方正仿宋简体" w:hAnsi="Verdana" w:cs="方正仿宋简体" w:hint="eastAsia"/>
          <w:color w:val="000000"/>
          <w:kern w:val="0"/>
          <w:sz w:val="32"/>
          <w:szCs w:val="32"/>
        </w:rPr>
        <w:t xml:space="preserve">的基本比例以及在校生规模、省本级财力增长情况等因素确定。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color w:val="000000"/>
          <w:kern w:val="0"/>
          <w:sz w:val="32"/>
          <w:szCs w:val="32"/>
        </w:rPr>
        <w:t xml:space="preserve">　　财政部、教育部将从预算安排和预算执行等方面加强对各省份地方高校财政投入情况的监测，并参考教育经费统计结果，如实掌握地方高校生均拨款水平提高的实际情况。对于地方高校生均拨款水平没有逐年提高，</w:t>
      </w:r>
      <w:r w:rsidRPr="004368EA">
        <w:rPr>
          <w:rFonts w:ascii="方正仿宋简体" w:eastAsia="方正仿宋简体" w:hAnsi="Verdana" w:cs="方正仿宋简体"/>
          <w:color w:val="000000"/>
          <w:kern w:val="0"/>
          <w:sz w:val="32"/>
          <w:szCs w:val="32"/>
        </w:rPr>
        <w:t>2012</w:t>
      </w:r>
      <w:r w:rsidRPr="004368EA">
        <w:rPr>
          <w:rFonts w:ascii="方正仿宋简体" w:eastAsia="方正仿宋简体" w:hAnsi="Verdana" w:cs="方正仿宋简体" w:hint="eastAsia"/>
          <w:color w:val="000000"/>
          <w:kern w:val="0"/>
          <w:sz w:val="32"/>
          <w:szCs w:val="32"/>
        </w:rPr>
        <w:t>年仍低于</w:t>
      </w:r>
      <w:r w:rsidRPr="004368EA">
        <w:rPr>
          <w:rFonts w:ascii="方正仿宋简体" w:eastAsia="方正仿宋简体" w:hAnsi="Verdana" w:cs="方正仿宋简体"/>
          <w:color w:val="000000"/>
          <w:kern w:val="0"/>
          <w:sz w:val="32"/>
          <w:szCs w:val="32"/>
        </w:rPr>
        <w:t>12000</w:t>
      </w:r>
      <w:r w:rsidRPr="004368EA">
        <w:rPr>
          <w:rFonts w:ascii="方正仿宋简体" w:eastAsia="方正仿宋简体" w:hAnsi="Verdana" w:cs="方正仿宋简体" w:hint="eastAsia"/>
          <w:color w:val="000000"/>
          <w:kern w:val="0"/>
          <w:sz w:val="32"/>
          <w:szCs w:val="32"/>
        </w:rPr>
        <w:t xml:space="preserve">元的省份，除不再给予奖补资金支持外，中央财政还将停止或减少安排高等教育专项转移支付资金；教育部将通过采取调减本科生和研究生招生计划，暂停硕士、博士点审批，暂停新设置高校、高校升格、高校更名审批等措施，推动各地高等教育规模与经费投入水平相匹配。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color w:val="000000"/>
          <w:kern w:val="0"/>
          <w:sz w:val="32"/>
          <w:szCs w:val="32"/>
        </w:rPr>
        <w:t xml:space="preserve">　　</w:t>
      </w:r>
      <w:r w:rsidRPr="004368EA">
        <w:rPr>
          <w:rFonts w:ascii="方正仿宋简体" w:eastAsia="方正仿宋简体" w:hAnsi="Verdana" w:cs="方正仿宋简体" w:hint="eastAsia"/>
          <w:b/>
          <w:bCs/>
          <w:color w:val="000000"/>
          <w:kern w:val="0"/>
          <w:sz w:val="32"/>
          <w:szCs w:val="32"/>
        </w:rPr>
        <w:t xml:space="preserve">四、完善机制，加强管理，切实提高资金使用效益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color w:val="000000"/>
          <w:kern w:val="0"/>
          <w:sz w:val="32"/>
          <w:szCs w:val="32"/>
        </w:rPr>
        <w:t xml:space="preserve">　　在加大财政投入、逐步提高地方高校生均拨款水平的同时，各地要进一步完善地方高等教育投入机制，健全以举办者投入为主、受教育者合理分担培养成本、学校设立基金接受社会捐赠等筹措经费的机制。可以借鉴中央高校预算拨款制度改革的做法，因地制宜地推动地方高校预算拨款制度改革，建立健全事业发展与经费投入同步增长的良好机制，支持地方高校全面提升人才培养、科学研究和社会服务水平。同时，积极发挥财政投入的引导和激励作用，不断优化高等教育结构，引导地方高校合理定位，克服同质化倾向，在不同层次、不同领域办出水平、办出特色。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color w:val="000000"/>
          <w:kern w:val="0"/>
          <w:sz w:val="32"/>
          <w:szCs w:val="32"/>
        </w:rPr>
        <w:t xml:space="preserve">　　各地要以加强“两基”建设（管理基础工作和基层建设）为抓手，切实提高教育经费科学化、精细化管理水平。健全管理制度，加强学校财务会计制度建设，完善经费使用内部稽核和内部控制制度；加强预算管理，提高预算编制质量，提高预算执行效率；防范学校财务风险，建立地方高校健康、可持续发展的长效机制；建立经费使用绩效评价制度，加强经费使用监督，切实提高资金使用效益。　</w:t>
      </w: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color w:val="000000"/>
          <w:kern w:val="0"/>
          <w:sz w:val="32"/>
          <w:szCs w:val="32"/>
        </w:rPr>
        <w:t xml:space="preserve">　　执行过程中如有问题，请及时反馈。　</w:t>
      </w:r>
    </w:p>
    <w:p w:rsidR="0002119E" w:rsidRDefault="0002119E" w:rsidP="004368EA">
      <w:pPr>
        <w:widowControl/>
        <w:spacing w:line="520" w:lineRule="exact"/>
        <w:rPr>
          <w:rFonts w:ascii="方正仿宋简体" w:eastAsia="方正仿宋简体" w:hAnsi="Verdana" w:cs="Times New Roman"/>
          <w:color w:val="000000"/>
          <w:kern w:val="0"/>
          <w:sz w:val="32"/>
          <w:szCs w:val="32"/>
        </w:rPr>
      </w:pPr>
      <w:r w:rsidRPr="004368EA">
        <w:rPr>
          <w:rFonts w:ascii="方正仿宋简体" w:eastAsia="方正仿宋简体" w:hAnsi="Verdana" w:cs="方正仿宋简体" w:hint="eastAsia"/>
          <w:color w:val="000000"/>
          <w:kern w:val="0"/>
          <w:sz w:val="32"/>
          <w:szCs w:val="32"/>
        </w:rPr>
        <w:t xml:space="preserve">　</w:t>
      </w:r>
    </w:p>
    <w:p w:rsidR="0002119E" w:rsidRDefault="0002119E" w:rsidP="004368EA">
      <w:pPr>
        <w:widowControl/>
        <w:spacing w:line="520" w:lineRule="exact"/>
        <w:rPr>
          <w:rFonts w:ascii="方正仿宋简体" w:eastAsia="方正仿宋简体" w:hAnsi="Verdana" w:cs="Times New Roman"/>
          <w:color w:val="000000"/>
          <w:kern w:val="0"/>
          <w:sz w:val="32"/>
          <w:szCs w:val="32"/>
        </w:rPr>
      </w:pPr>
    </w:p>
    <w:p w:rsidR="0002119E" w:rsidRPr="004368EA" w:rsidRDefault="0002119E" w:rsidP="004368EA">
      <w:pPr>
        <w:widowControl/>
        <w:spacing w:line="520" w:lineRule="exact"/>
        <w:rPr>
          <w:rFonts w:ascii="方正仿宋简体" w:eastAsia="方正仿宋简体" w:hAnsi="Verdana" w:cs="Times New Roman"/>
          <w:color w:val="000000"/>
          <w:kern w:val="0"/>
          <w:sz w:val="32"/>
          <w:szCs w:val="32"/>
        </w:rPr>
      </w:pPr>
      <w:r>
        <w:rPr>
          <w:rFonts w:ascii="方正仿宋简体" w:eastAsia="方正仿宋简体" w:hAnsi="Verdana" w:cs="方正仿宋简体"/>
          <w:color w:val="000000"/>
          <w:kern w:val="0"/>
          <w:sz w:val="32"/>
          <w:szCs w:val="32"/>
        </w:rPr>
        <w:t xml:space="preserve">                                  </w:t>
      </w:r>
      <w:r w:rsidRPr="004368EA">
        <w:rPr>
          <w:rFonts w:ascii="方正仿宋简体" w:eastAsia="方正仿宋简体" w:hAnsi="Verdana" w:cs="方正仿宋简体" w:hint="eastAsia"/>
          <w:color w:val="000000"/>
          <w:kern w:val="0"/>
          <w:sz w:val="32"/>
          <w:szCs w:val="32"/>
        </w:rPr>
        <w:t xml:space="preserve">　财政部　教育部　</w:t>
      </w:r>
    </w:p>
    <w:p w:rsidR="0002119E" w:rsidRPr="004368EA" w:rsidRDefault="0002119E" w:rsidP="004368EA">
      <w:pPr>
        <w:spacing w:line="520" w:lineRule="exact"/>
        <w:rPr>
          <w:rFonts w:ascii="方正仿宋简体" w:eastAsia="方正仿宋简体" w:cs="Times New Roman"/>
          <w:sz w:val="32"/>
          <w:szCs w:val="32"/>
        </w:rPr>
      </w:pPr>
      <w:r w:rsidRPr="004368EA">
        <w:rPr>
          <w:rFonts w:ascii="方正仿宋简体" w:eastAsia="方正仿宋简体" w:hAnsi="Verdana" w:cs="方正仿宋简体" w:hint="eastAsia"/>
          <w:color w:val="000000"/>
          <w:kern w:val="0"/>
          <w:sz w:val="32"/>
          <w:szCs w:val="32"/>
        </w:rPr>
        <w:t xml:space="preserve">　　</w:t>
      </w:r>
      <w:r>
        <w:rPr>
          <w:rFonts w:ascii="方正仿宋简体" w:eastAsia="方正仿宋简体" w:hAnsi="Verdana" w:cs="方正仿宋简体"/>
          <w:color w:val="000000"/>
          <w:kern w:val="0"/>
          <w:sz w:val="32"/>
          <w:szCs w:val="32"/>
        </w:rPr>
        <w:t xml:space="preserve">                            </w:t>
      </w:r>
      <w:r w:rsidRPr="004368EA">
        <w:rPr>
          <w:rFonts w:ascii="方正仿宋简体" w:eastAsia="方正仿宋简体" w:hAnsi="Verdana" w:cs="方正仿宋简体" w:hint="eastAsia"/>
          <w:color w:val="000000"/>
          <w:kern w:val="0"/>
          <w:sz w:val="32"/>
          <w:szCs w:val="32"/>
        </w:rPr>
        <w:t>二</w:t>
      </w:r>
      <w:r w:rsidRPr="004368EA">
        <w:rPr>
          <w:rFonts w:ascii="方正仿宋简体" w:eastAsia="方正仿宋简体" w:hAnsi="Arial" w:cs="方正仿宋简体" w:hint="eastAsia"/>
          <w:color w:val="000000"/>
          <w:kern w:val="0"/>
          <w:sz w:val="32"/>
          <w:szCs w:val="32"/>
        </w:rPr>
        <w:t>○</w:t>
      </w:r>
      <w:r w:rsidRPr="004368EA">
        <w:rPr>
          <w:rFonts w:ascii="方正仿宋简体" w:eastAsia="方正仿宋简体" w:hAnsi="Verdana" w:cs="方正仿宋简体" w:hint="eastAsia"/>
          <w:color w:val="000000"/>
          <w:kern w:val="0"/>
          <w:sz w:val="32"/>
          <w:szCs w:val="32"/>
        </w:rPr>
        <w:t>一</w:t>
      </w:r>
      <w:r w:rsidRPr="004368EA">
        <w:rPr>
          <w:rFonts w:ascii="方正仿宋简体" w:eastAsia="方正仿宋简体" w:hAnsi="Arial" w:cs="方正仿宋简体" w:hint="eastAsia"/>
          <w:color w:val="000000"/>
          <w:kern w:val="0"/>
          <w:sz w:val="32"/>
          <w:szCs w:val="32"/>
        </w:rPr>
        <w:t>○</w:t>
      </w:r>
      <w:r w:rsidRPr="004368EA">
        <w:rPr>
          <w:rFonts w:ascii="方正仿宋简体" w:eastAsia="方正仿宋简体" w:hAnsi="Verdana" w:cs="方正仿宋简体" w:hint="eastAsia"/>
          <w:color w:val="000000"/>
          <w:kern w:val="0"/>
          <w:sz w:val="32"/>
          <w:szCs w:val="32"/>
        </w:rPr>
        <w:t>年十一月三十日</w:t>
      </w:r>
    </w:p>
    <w:sectPr w:rsidR="0002119E" w:rsidRPr="004368EA" w:rsidSect="004368EA">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仿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6B9"/>
    <w:rsid w:val="000016B9"/>
    <w:rsid w:val="0002119E"/>
    <w:rsid w:val="002A41BB"/>
    <w:rsid w:val="004368EA"/>
    <w:rsid w:val="008810CF"/>
    <w:rsid w:val="00E03C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CF"/>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0016B9"/>
    <w:rPr>
      <w:b/>
      <w:bCs/>
    </w:rPr>
  </w:style>
</w:styles>
</file>

<file path=word/webSettings.xml><?xml version="1.0" encoding="utf-8"?>
<w:webSettings xmlns:r="http://schemas.openxmlformats.org/officeDocument/2006/relationships" xmlns:w="http://schemas.openxmlformats.org/wordprocessingml/2006/main">
  <w:divs>
    <w:div w:id="625964258">
      <w:marLeft w:val="0"/>
      <w:marRight w:val="0"/>
      <w:marTop w:val="0"/>
      <w:marBottom w:val="0"/>
      <w:divBdr>
        <w:top w:val="none" w:sz="0" w:space="0" w:color="auto"/>
        <w:left w:val="none" w:sz="0" w:space="0" w:color="auto"/>
        <w:bottom w:val="none" w:sz="0" w:space="0" w:color="auto"/>
        <w:right w:val="none" w:sz="0" w:space="0" w:color="auto"/>
      </w:divBdr>
      <w:divsChild>
        <w:div w:id="625964262">
          <w:marLeft w:val="0"/>
          <w:marRight w:val="0"/>
          <w:marTop w:val="0"/>
          <w:marBottom w:val="0"/>
          <w:divBdr>
            <w:top w:val="none" w:sz="0" w:space="0" w:color="auto"/>
            <w:left w:val="none" w:sz="0" w:space="0" w:color="auto"/>
            <w:bottom w:val="none" w:sz="0" w:space="0" w:color="auto"/>
            <w:right w:val="none" w:sz="0" w:space="0" w:color="auto"/>
          </w:divBdr>
          <w:divsChild>
            <w:div w:id="625964257">
              <w:marLeft w:val="0"/>
              <w:marRight w:val="0"/>
              <w:marTop w:val="0"/>
              <w:marBottom w:val="0"/>
              <w:divBdr>
                <w:top w:val="none" w:sz="0" w:space="0" w:color="auto"/>
                <w:left w:val="none" w:sz="0" w:space="0" w:color="auto"/>
                <w:bottom w:val="none" w:sz="0" w:space="0" w:color="auto"/>
                <w:right w:val="none" w:sz="0" w:space="0" w:color="auto"/>
              </w:divBdr>
              <w:divsChild>
                <w:div w:id="625964259">
                  <w:marLeft w:val="0"/>
                  <w:marRight w:val="0"/>
                  <w:marTop w:val="0"/>
                  <w:marBottom w:val="0"/>
                  <w:divBdr>
                    <w:top w:val="none" w:sz="0" w:space="0" w:color="auto"/>
                    <w:left w:val="none" w:sz="0" w:space="0" w:color="auto"/>
                    <w:bottom w:val="none" w:sz="0" w:space="0" w:color="auto"/>
                    <w:right w:val="none" w:sz="0" w:space="0" w:color="auto"/>
                  </w:divBdr>
                  <w:divsChild>
                    <w:div w:id="625964261">
                      <w:marLeft w:val="0"/>
                      <w:marRight w:val="0"/>
                      <w:marTop w:val="0"/>
                      <w:marBottom w:val="0"/>
                      <w:divBdr>
                        <w:top w:val="none" w:sz="0" w:space="0" w:color="auto"/>
                        <w:left w:val="none" w:sz="0" w:space="0" w:color="auto"/>
                        <w:bottom w:val="none" w:sz="0" w:space="0" w:color="auto"/>
                        <w:right w:val="none" w:sz="0" w:space="0" w:color="auto"/>
                      </w:divBdr>
                      <w:divsChild>
                        <w:div w:id="625964263">
                          <w:marLeft w:val="0"/>
                          <w:marRight w:val="0"/>
                          <w:marTop w:val="0"/>
                          <w:marBottom w:val="0"/>
                          <w:divBdr>
                            <w:top w:val="none" w:sz="0" w:space="0" w:color="auto"/>
                            <w:left w:val="none" w:sz="0" w:space="0" w:color="auto"/>
                            <w:bottom w:val="none" w:sz="0" w:space="0" w:color="auto"/>
                            <w:right w:val="none" w:sz="0" w:space="0" w:color="auto"/>
                          </w:divBdr>
                          <w:divsChild>
                            <w:div w:id="625964256">
                              <w:marLeft w:val="0"/>
                              <w:marRight w:val="0"/>
                              <w:marTop w:val="0"/>
                              <w:marBottom w:val="0"/>
                              <w:divBdr>
                                <w:top w:val="none" w:sz="0" w:space="0" w:color="auto"/>
                                <w:left w:val="none" w:sz="0" w:space="0" w:color="auto"/>
                                <w:bottom w:val="none" w:sz="0" w:space="0" w:color="auto"/>
                                <w:right w:val="none" w:sz="0" w:space="0" w:color="auto"/>
                              </w:divBdr>
                              <w:divsChild>
                                <w:div w:id="6259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325</Words>
  <Characters>1855</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cp:lastModifiedBy>
  <cp:revision>2</cp:revision>
  <dcterms:created xsi:type="dcterms:W3CDTF">2015-05-22T00:39:00Z</dcterms:created>
  <dcterms:modified xsi:type="dcterms:W3CDTF">2016-11-24T02:03:00Z</dcterms:modified>
</cp:coreProperties>
</file>